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TennisMeet 全球使用條款</w:t>
      </w:r>
    </w:p>
    <w:p>
      <w:pPr>
        <w:spacing w:after="120"/>
      </w:pPr>
      <w:r>
        <w:t xml:space="preserve">生效日期：2025年1月1日　|　最後更新：2025年1月1日</w:t>
      </w:r>
    </w:p>
    <w:p>
      <w:pPr>
        <w:spacing w:after="80"/>
      </w:pPr>
      <w:r>
        <w:t xml:space="preserve"/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Borders>
              <w:top w:val="single" w:color="2471A3" w:sz="4"/>
              <w:left w:val="single" w:color="2471A3" w:sz="4"/>
              <w:bottom w:val="single" w:color="2471A3" w:sz="4"/>
              <w:right w:val="single" w:color="2471A3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本使用條款適用於全球所有 TennisMeet 用戶。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地區補充條款（澳洲消費者法、歐盟消費者權利、加州）載於第二部分。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如有衝突，以相關地區補充條款為準。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第一部分 — 核心條款（適用於全球所有用戶）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1. 關於 TennisMeet</w:t>
      </w:r>
    </w:p>
    <w:p>
      <w:pPr>
        <w:spacing w:after="120"/>
      </w:pPr>
      <w:r>
        <w:t xml:space="preserve">TennisMeet 是一個網球社群媒合平台，提供：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網球教練與學員媒合服務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球友搜尋與配對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約球時間及地點安排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網球相關社群資訊分享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2. 帳號註冊</w:t>
      </w:r>
    </w:p>
    <w:p>
      <w:pPr>
        <w:spacing w:after="120"/>
      </w:pPr>
      <w:r>
        <w:t xml:space="preserve">使用本應用程式須先完成帳號註冊，您同意：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提供真實、準確且完整的資訊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妥善保管帳號憑證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對帳號下的一切活動負責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如發現未授權使用，立即通知我們</w:t>
      </w:r>
    </w:p>
    <w:p>
      <w:pPr>
        <w:spacing w:after="120"/>
      </w:pPr>
      <w:r>
        <w:t xml:space="preserve">每人限申請一個帳號。我們保留拒絕或終止帳號的權利。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3. 用戶行為規範</w:t>
      </w:r>
    </w:p>
    <w:p>
      <w:pPr>
        <w:spacing w:after="120"/>
      </w:pPr>
      <w:r>
        <w:t xml:space="preserve">您不得：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發布虛假、欺騙性或誤導性資訊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騷擾、霸凌或威脅其他用戶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上傳違法、淫穢或侵犯他人權益的內容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濫發廣告或垃圾訊息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嘗試入侵、破壞或干擾平台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冒充他人或機構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違反任何適用法律或法規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4. 教練服務</w:t>
      </w:r>
    </w:p>
    <w:p>
      <w:pPr>
        <w:spacing w:after="120"/>
      </w:pPr>
      <w:r>
        <w:t xml:space="preserve">教練服務由獨立教練提供，與我們無關。您確認：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我們不對教練資質、執照或能力作出任何保證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教練服務協議由您與教練直接簽訂，我們非合約當事方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建議在聘用教練前自行查核其資格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教練費用及服務糾紛由雙方自行解決；必要時我們可引導您至相關消費者機構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5. 約球安全須知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首次會面請選擇公共場所或正規球場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告知可信任的人您的約球計劃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如感到不安全，您有權隨時取消或離開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避免分享過多個人敏感資訊</w:t>
      </w:r>
    </w:p>
    <w:p>
      <w:pPr>
        <w:spacing w:after="120"/>
      </w:pPr>
      <w:r>
        <w:t xml:space="preserve">除強制適用法律另有規定外，我們不對線下會面產生的人身安全或財產損失負責。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6. 智慧財產權</w:t>
      </w:r>
    </w:p>
    <w:p>
      <w:pPr>
        <w:spacing w:after="120"/>
      </w:pPr>
      <w:r>
        <w:t xml:space="preserve">本應用程式的名稱、標誌、介面設計及技術均為 TennisMeet 所有或授權使用，受適用智慧財產權法律保護。</w:t>
      </w:r>
    </w:p>
    <w:p>
      <w:pPr>
        <w:spacing w:after="120"/>
      </w:pPr>
      <w:r>
        <w:t xml:space="preserve">您保留所發布內容的著作權，但同意授予我們非獨家、免授權費、全球性的使用授權，用於提供及改善服務。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7. 免責聲明</w:t>
      </w:r>
    </w:p>
    <w:p>
      <w:pPr>
        <w:spacing w:after="120"/>
      </w:pPr>
      <w:r>
        <w:t xml:space="preserve">除強制適用法律另有規定外，本應用程式依「現狀」提供，不附任何明示或默示保證。我們不保證服務不中斷或無錯誤，亦不保證用戶提供資訊的準確性。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8. 責任限制</w:t>
      </w:r>
    </w:p>
    <w:p>
      <w:pPr>
        <w:spacing w:after="120"/>
      </w:pPr>
      <w:r>
        <w:t xml:space="preserve">在強制適用法律允許的最大範圍內，我們對任何索賠的累計責任以您在索賠前12個月支付給我們的金額或新台幣3,000元（擇其較高者）為限。我們不對間接、附帶或衍生損失負責。</w:t>
      </w:r>
    </w:p>
    <w:p>
      <w:pPr>
        <w:spacing w:after="120"/>
      </w:pPr>
      <w:r>
        <w:t xml:space="preserve">本條款不限制任何依法不得排除的責任（包括法定消費者保障）。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9. 帳號終止</w:t>
      </w:r>
    </w:p>
    <w:p>
      <w:pPr>
        <w:spacing w:after="120"/>
      </w:pPr>
      <w:r>
        <w:t xml:space="preserve">您可隨時在應用程式設定中刪除帳號。如您違反本條款，我們保留在可行情況下事先通知後暫停或終止帳號的權利；嚴重違規情形得立即處理。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10. 條款修訂</w:t>
      </w:r>
    </w:p>
    <w:p>
      <w:pPr>
        <w:spacing w:after="120"/>
      </w:pPr>
      <w:r>
        <w:t xml:space="preserve">我們保留修訂本條款的權利，並於重大變更生效前至少14天以應用程式通知或電子郵件告知您。繼續使用即表示接受修訂後條款。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11. 預設管轄法律</w:t>
      </w:r>
    </w:p>
    <w:p>
      <w:pPr>
        <w:spacing w:after="120"/>
      </w:pPr>
      <w:r>
        <w:t xml:space="preserve">除地區補充條款另有規定外，本條款受澳洲維多利亞州法律管轄，爭議提交維多利亞州法院不專屬管轄。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12. 聯絡我們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客服信箱：support@tennismeet.app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網站：www.tennismeet.app</w:t>
      </w:r>
    </w:p>
    <w:p>
      <w:pPr>
        <w:spacing w:after="80"/>
      </w:pPr>
      <w:r>
        <w:t xml:space="preserve"/>
      </w:r>
    </w:p>
    <w:p>
      <w:r>
        <w:br w:type="page"/>
      </w:r>
    </w:p>
    <w:p>
      <w:pPr>
        <w:pStyle w:val="Heading2"/>
      </w:pPr>
      <w:r>
        <w:t xml:space="preserve">第二部分 — 地區補充條款</w:t>
      </w:r>
    </w:p>
    <w:p>
      <w:pPr>
        <w:spacing w:after="120"/>
      </w:pPr>
      <w:r>
        <w:t xml:space="preserve">以下補充條款與第一部分共同適用於特定地區的用戶。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補充條款 A — 澳洲（澳洲消費者法）</w:t>
      </w:r>
    </w:p>
    <w:p>
      <w:pPr>
        <w:spacing w:after="80"/>
      </w:pPr>
      <w:r>
        <w:t xml:space="preserve"/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Borders>
              <w:top w:val="single" w:color="2471A3" w:sz="4"/>
              <w:left w:val="single" w:color="2471A3" w:sz="4"/>
              <w:bottom w:val="single" w:color="2471A3" w:sz="4"/>
              <w:right w:val="single" w:color="2471A3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適用對象：位於澳洲的用戶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t xml:space="preserve">本條款須遵守《競爭與消費者法 2010》附表二《澳洲消費者法》（ACL）。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A1. 消費者保障（不可排除）</w:t>
      </w:r>
    </w:p>
    <w:p>
      <w:pPr>
        <w:spacing w:after="120"/>
      </w:pPr>
      <w:r>
        <w:t xml:space="preserve">依 ACL，我們的服務附有不可排除的保障：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服務須以應有的謹慎和技術提供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服務須符合您明確告知我們的特定目的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服務須在合理時間內提供</w:t>
      </w:r>
    </w:p>
    <w:p>
      <w:pPr>
        <w:spacing w:after="120"/>
      </w:pPr>
      <w:r>
        <w:t xml:space="preserve">若服務存在重大瑕疵，您有權要求退款、重新提供或獲得賠償。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A2. 不公平合約條款（ACL 第 2-3 部分）</w:t>
      </w:r>
    </w:p>
    <w:p>
      <w:pPr>
        <w:spacing w:after="120"/>
      </w:pPr>
      <w:r>
        <w:t xml:space="preserve">任何被認定為不公平合約條款的條文均屬無效。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A3. 澳洲爭議解決</w:t>
      </w:r>
    </w:p>
    <w:p>
      <w:pPr>
        <w:spacing w:after="120"/>
      </w:pPr>
      <w:r>
        <w:t xml:space="preserve">澳洲用戶可在採取法律行動前，向 ACCC（accc.gov.au）或所在州/領地消費者事務局尋求協助。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補充條款 B — 歐盟及英國</w:t>
      </w:r>
    </w:p>
    <w:p>
      <w:pPr>
        <w:spacing w:after="80"/>
      </w:pPr>
      <w:r>
        <w:t xml:space="preserve"/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Borders>
              <w:top w:val="single" w:color="2471A3" w:sz="4"/>
              <w:left w:val="single" w:color="2471A3" w:sz="4"/>
              <w:bottom w:val="single" w:color="2471A3" w:sz="4"/>
              <w:right w:val="single" w:color="2471A3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適用對象：位於歐盟、歐洲經濟區或英國的用戶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B1. 撤回權（冷靜期）</w:t>
      </w:r>
    </w:p>
    <w:p>
      <w:pPr>
        <w:spacing w:after="120"/>
      </w:pPr>
      <w:r>
        <w:t xml:space="preserve">若您為歐盟/英國消費者並購買付費服務，您有權在14天內無理由撤回合約，但服務已在您知情下完全履行者除外。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B2. 強制消費者權利</w:t>
      </w:r>
    </w:p>
    <w:p>
      <w:pPr>
        <w:spacing w:after="120"/>
      </w:pPr>
      <w:r>
        <w:t xml:space="preserve">歐盟指令 2019/770 及英國消費者法賦予您不可排除的數位服務權利，本條款不限制該等權利。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B3. 線上爭議解決</w:t>
      </w:r>
    </w:p>
    <w:p>
      <w:pPr>
        <w:spacing w:after="120"/>
      </w:pPr>
      <w:r>
        <w:t xml:space="preserve">歐盟用戶可使用歐盟執委會線上爭議解決平台：ec.europa.eu/consumers/odr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補充條款 C — 美國加州</w:t>
      </w:r>
    </w:p>
    <w:p>
      <w:pPr>
        <w:spacing w:after="80"/>
      </w:pPr>
      <w:r>
        <w:t xml:space="preserve"/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Borders>
              <w:top w:val="single" w:color="2471A3" w:sz="4"/>
              <w:left w:val="single" w:color="2471A3" w:sz="4"/>
              <w:bottom w:val="single" w:color="2471A3" w:sz="4"/>
              <w:right w:val="single" w:color="2471A3" w:sz="4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適用對象：加州居民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C1. 加州消費者權利</w:t>
      </w:r>
    </w:p>
    <w:p>
      <w:pPr>
        <w:spacing w:after="120"/>
      </w:pPr>
      <w:r>
        <w:t xml:space="preserve">加州居民在加州法律下享有額外權利。任何試圖放棄加州消費者權利的條款均屬無效。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b/>
          <w:bCs/>
        </w:rPr>
        <w:t xml:space="preserve">C2. 加州爭議解決</w:t>
      </w:r>
    </w:p>
    <w:p>
      <w:pPr>
        <w:spacing w:after="120"/>
      </w:pPr>
      <w:r>
        <w:t xml:space="preserve">儘管有預設管轄法律條款，加州居民可在加州法院提出索賠，並享有加州消費者保護法律的保護。</w:t>
      </w:r>
    </w:p>
    <w:p>
      <w:pPr>
        <w:spacing w:after="80"/>
      </w:pPr>
      <w:r>
        <w:t xml:space="preserve"/>
      </w:r>
    </w:p>
    <w:sectPr>
      <w:pgSz w:w="11906" w:h="16838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2471A3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A527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2026-04-19T04:13:32.533Z</dcterms:created>
  <dcterms:modified xsi:type="dcterms:W3CDTF">2026-04-19T04:13:32.533Z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